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tabs>
          <w:tab w:val="clear" w:pos="1296"/>
          <w:tab w:val="left" w:pos="567" w:leader="none"/>
          <w:tab w:val="left" w:pos="851" w:leader="none"/>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pPr>
        <w:pStyle w:val="Normal"/>
        <w:jc w:val="center"/>
        <w:rPr>
          <w:szCs w:val="24"/>
        </w:rPr>
      </w:pPr>
      <w:r>
        <w:rPr>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45"/>
        <w:gridCol w:w="2181"/>
        <w:gridCol w:w="2360"/>
        <w:gridCol w:w="2571"/>
      </w:tblGrid>
      <w:tr>
        <w:trPr/>
        <w:tc>
          <w:tcPr>
            <w:tcW w:w="2445" w:type="dxa"/>
            <w:tcBorders>
              <w:top w:val="single" w:sz="4" w:space="0" w:color="000000"/>
              <w:left w:val="single" w:sz="4" w:space="0" w:color="000000"/>
              <w:bottom w:val="single" w:sz="4" w:space="0" w:color="000000"/>
              <w:right w:val="single" w:sz="4" w:space="0" w:color="000000"/>
            </w:tcBorders>
          </w:tcPr>
          <w:p>
            <w:pPr>
              <w:pStyle w:val="Normal"/>
              <w:jc w:val="both"/>
              <w:rPr>
                <w:b/>
                <w:bCs/>
                <w:kern w:val="2"/>
                <w:szCs w:val="24"/>
              </w:rPr>
            </w:pPr>
            <w:r>
              <w:rPr>
                <w:b/>
                <w:bCs/>
                <w:kern w:val="2"/>
                <w:szCs w:val="24"/>
              </w:rPr>
              <w:t>Sutarties pavadinimas</w:t>
            </w:r>
          </w:p>
        </w:tc>
        <w:tc>
          <w:tcPr>
            <w:tcW w:w="7112" w:type="dxa"/>
            <w:gridSpan w:val="3"/>
            <w:tcBorders>
              <w:top w:val="single" w:sz="4" w:space="0" w:color="000000"/>
              <w:left w:val="single" w:sz="4" w:space="0" w:color="000000"/>
              <w:bottom w:val="single" w:sz="4" w:space="0" w:color="000000"/>
              <w:right w:val="single" w:sz="4" w:space="0" w:color="000000"/>
            </w:tcBorders>
          </w:tcPr>
          <w:p>
            <w:pPr>
              <w:pStyle w:val="ListParagraph"/>
              <w:tabs>
                <w:tab w:val="clear" w:pos="1296"/>
                <w:tab w:val="left" w:pos="851" w:leader="none"/>
                <w:tab w:val="left" w:pos="993" w:leader="none"/>
              </w:tabs>
              <w:spacing w:before="0" w:after="160"/>
              <w:ind w:firstLine="567" w:left="0"/>
              <w:contextualSpacing/>
              <w:jc w:val="both"/>
              <w:rPr>
                <w:rFonts w:ascii="Arial" w:hAnsi="Arial" w:cs="Arial"/>
              </w:rPr>
            </w:pPr>
            <w:r>
              <w:rPr>
                <w:rFonts w:cs="Arial" w:ascii="Arial" w:hAnsi="Arial"/>
                <w:kern w:val="2"/>
                <w:szCs w:val="24"/>
              </w:rPr>
              <w:t>Visuotinės navigacijos ir padėties nustatymo įrenginiai</w:t>
            </w:r>
          </w:p>
        </w:tc>
      </w:tr>
      <w:tr>
        <w:trPr/>
        <w:tc>
          <w:tcPr>
            <w:tcW w:w="2445" w:type="dxa"/>
            <w:tcBorders>
              <w:top w:val="single" w:sz="4" w:space="0" w:color="000000"/>
              <w:left w:val="single" w:sz="4" w:space="0" w:color="000000"/>
              <w:bottom w:val="single" w:sz="4" w:space="0" w:color="000000"/>
              <w:right w:val="single" w:sz="4" w:space="0" w:color="000000"/>
            </w:tcBorders>
          </w:tcPr>
          <w:p>
            <w:pPr>
              <w:pStyle w:val="Normal"/>
              <w:jc w:val="both"/>
              <w:rPr>
                <w:b/>
                <w:bCs/>
                <w:kern w:val="2"/>
                <w:szCs w:val="24"/>
              </w:rPr>
            </w:pPr>
            <w:r>
              <w:rPr>
                <w:b/>
                <w:bCs/>
                <w:kern w:val="2"/>
                <w:szCs w:val="24"/>
              </w:rPr>
              <w:t>Sutarties data</w:t>
            </w:r>
          </w:p>
        </w:tc>
        <w:tc>
          <w:tcPr>
            <w:tcW w:w="2181" w:type="dxa"/>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r>
          </w:p>
        </w:tc>
        <w:tc>
          <w:tcPr>
            <w:tcW w:w="2360" w:type="dxa"/>
            <w:tcBorders>
              <w:top w:val="single" w:sz="4" w:space="0" w:color="000000"/>
              <w:left w:val="single" w:sz="4" w:space="0" w:color="000000"/>
              <w:bottom w:val="single" w:sz="4" w:space="0" w:color="000000"/>
              <w:right w:val="single" w:sz="4" w:space="0" w:color="000000"/>
            </w:tcBorders>
          </w:tcPr>
          <w:p>
            <w:pPr>
              <w:pStyle w:val="Normal"/>
              <w:jc w:val="both"/>
              <w:rPr>
                <w:b/>
                <w:bCs/>
                <w:kern w:val="2"/>
                <w:szCs w:val="24"/>
              </w:rPr>
            </w:pPr>
            <w:r>
              <w:rPr>
                <w:b/>
                <w:bCs/>
                <w:kern w:val="2"/>
                <w:szCs w:val="24"/>
              </w:rPr>
              <w:t>Sutarties numeris</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r>
          </w:p>
        </w:tc>
      </w:tr>
    </w:tbl>
    <w:p>
      <w:pPr>
        <w:pStyle w:val="Normal"/>
        <w:jc w:val="both"/>
        <w:rPr>
          <w:szCs w:val="24"/>
        </w:rPr>
      </w:pPr>
      <w:r>
        <w:rPr>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08"/>
        <w:gridCol w:w="3240"/>
        <w:gridCol w:w="3510"/>
      </w:tblGrid>
      <w:tr>
        <w:trPr/>
        <w:tc>
          <w:tcPr>
            <w:tcW w:w="9558"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 SUTARTIES ŠALYS</w:t>
            </w:r>
          </w:p>
        </w:tc>
      </w:tr>
      <w:tr>
        <w:trPr/>
        <w:tc>
          <w:tcPr>
            <w:tcW w:w="2808" w:type="dxa"/>
            <w:vMerge w:val="restart"/>
            <w:tcBorders>
              <w:top w:val="single" w:sz="4" w:space="0" w:color="000000"/>
              <w:left w:val="single" w:sz="4" w:space="0" w:color="000000"/>
              <w:bottom w:val="single" w:sz="4" w:space="0" w:color="000000"/>
              <w:right w:val="single" w:sz="4" w:space="0" w:color="000000"/>
            </w:tcBorders>
            <w:vAlign w:val="center"/>
          </w:tcPr>
          <w:p>
            <w:pPr>
              <w:pStyle w:val="Normal"/>
              <w:rPr>
                <w:b/>
                <w:bCs/>
                <w:kern w:val="2"/>
                <w:szCs w:val="24"/>
              </w:rPr>
            </w:pPr>
            <w:r>
              <w:rPr>
                <w:b/>
                <w:bCs/>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t>Valstybės įmonė Valstybinių miškų urėdija</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t>132340880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szCs w:val="24"/>
              </w:rPr>
              <w:t>Pramonės pr. 11A-9, 51327 Kaunas</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szCs w:val="24"/>
              </w:rPr>
              <w:t>LT323408811</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szCs w:val="24"/>
              </w:rPr>
              <w:t>LT84 7044 0600 0812 3597</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szCs w:val="24"/>
              </w:rPr>
              <w:t>AB SEB bankas, banko kodas 70440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szCs w:val="24"/>
              </w:rPr>
              <w:t>+370 5 273 4021</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hyperlink r:id="rId2">
              <w:r>
                <w:rPr>
                  <w:rStyle w:val="Hyperlink"/>
                  <w:szCs w:val="24"/>
                </w:rPr>
                <w:t>info@vmu.lt</w:t>
              </w:r>
            </w:hyperlink>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restart"/>
            <w:tcBorders>
              <w:top w:val="single" w:sz="4" w:space="0" w:color="000000"/>
              <w:left w:val="single" w:sz="4" w:space="0" w:color="000000"/>
              <w:bottom w:val="single" w:sz="4" w:space="0" w:color="000000"/>
              <w:right w:val="single" w:sz="4" w:space="0" w:color="000000"/>
            </w:tcBorders>
            <w:vAlign w:val="center"/>
          </w:tcPr>
          <w:p>
            <w:pPr>
              <w:pStyle w:val="Normal"/>
              <w:rPr>
                <w:b/>
                <w:bCs/>
                <w:kern w:val="2"/>
                <w:szCs w:val="24"/>
              </w:rPr>
            </w:pPr>
            <w:r>
              <w:rPr>
                <w:b/>
                <w:bCs/>
                <w:kern w:val="2"/>
                <w:szCs w:val="24"/>
              </w:rPr>
              <w:t>1.2. Tiekėjas</w:t>
            </w:r>
          </w:p>
          <w:p>
            <w:pPr>
              <w:pStyle w:val="Normal"/>
              <w:rPr>
                <w:color w:val="0070C0"/>
                <w:kern w:val="2"/>
                <w:szCs w:val="24"/>
              </w:rPr>
            </w:pPr>
            <w:r>
              <w:rPr>
                <w:color w:val="0070C0"/>
                <w:kern w:val="2"/>
                <w:szCs w:val="24"/>
              </w:rPr>
              <w:t>(jei Tiekėjas yra fizinis asmuo, skiltys atitinkamai pakoreguojamos.</w:t>
            </w:r>
          </w:p>
          <w:p>
            <w:pPr>
              <w:pStyle w:val="Normal"/>
              <w:rPr>
                <w:color w:val="0070C0"/>
                <w:kern w:val="2"/>
                <w:szCs w:val="24"/>
              </w:rPr>
            </w:pPr>
            <w:r>
              <w:rPr>
                <w:color w:val="0070C0"/>
                <w:kern w:val="2"/>
                <w:szCs w:val="24"/>
              </w:rPr>
              <w:t>Jei Tiekėjas yra tiekėjų grupė, skiltys pildomos įterpiant kiekvieno grupės nario informaciją)</w:t>
            </w:r>
          </w:p>
          <w:p>
            <w:pPr>
              <w:pStyle w:val="Normal"/>
              <w:rPr>
                <w:color w:val="0070C0"/>
                <w:kern w:val="2"/>
                <w:szCs w:val="24"/>
              </w:rPr>
            </w:pPr>
            <w:r>
              <w:rPr>
                <w:color w:val="0070C0"/>
                <w:kern w:val="2"/>
                <w:szCs w:val="24"/>
              </w:rPr>
            </w:r>
          </w:p>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bl>
    <w:p>
      <w:pPr>
        <w:pStyle w:val="Normal"/>
        <w:jc w:val="both"/>
        <w:rPr>
          <w:szCs w:val="24"/>
        </w:rPr>
      </w:pPr>
      <w:r>
        <w:rPr>
          <w:szCs w:val="24"/>
        </w:rPr>
      </w:r>
    </w:p>
    <w:tbl>
      <w:tblPr>
        <w:tblW w:w="953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686"/>
        <w:gridCol w:w="15"/>
        <w:gridCol w:w="2085"/>
        <w:gridCol w:w="4748"/>
      </w:tblGrid>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2. ATSAKINGI ASMENYS</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2.1. Pirkėjo kontaktiniai asmenys, atsakingi už Sutarties vykdymą, Prekių priėmimą, Sąskaitų per informacinę sistemą SABIS priėmimą</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t>(nurodyti padalinį / skyrių, pareigas, vardą, pavardę, tel., el. paštą)</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2.2. Tiekėjo kontaktiniai asmenys, atsakingi už Sutarties vykdymą</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t>(nurodyti padalinį / skyrių, pareigas, vardą, pavardę, tel., el. paštą)</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3. SUTARTIES DALYKAS</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3.1. Sutarties dalykas</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 xml:space="preserve">Tiekėjas įsipareigoja Sutartyje numatytomis sąlygomis perduoti Pirkėjui GNSS prietaisus </w:t>
            </w:r>
            <w:r>
              <w:rPr>
                <w:color w:val="4472C4"/>
                <w:kern w:val="2"/>
                <w:szCs w:val="24"/>
              </w:rPr>
              <w:t>(gamintojas ir modelis nurodomas sutarties sudarymo metu)</w:t>
            </w:r>
            <w:r>
              <w:rPr>
                <w:color w:val="000000"/>
                <w:kern w:val="2"/>
                <w:szCs w:val="24"/>
              </w:rPr>
              <w:t xml:space="preserve"> (toliau – Prekės).</w:t>
            </w:r>
          </w:p>
          <w:p>
            <w:pPr>
              <w:pStyle w:val="Normal"/>
              <w:jc w:val="both"/>
              <w:rPr>
                <w:color w:val="000000"/>
                <w:kern w:val="2"/>
                <w:szCs w:val="24"/>
              </w:rPr>
            </w:pPr>
            <w:r>
              <w:rPr>
                <w:color w:val="000000"/>
                <w:kern w:val="2"/>
                <w:szCs w:val="24"/>
              </w:rPr>
              <w:t xml:space="preserve">Išsamus Prekių aprašymas ir kiti reikalavimai tiekiamoms Prekėms nustatyti Sutarties priede Nr. 1 „Techninė specifikacija“ (toliau – Techninė specifikacija). </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3.2. Pirkimo pavadinimas ir numeris</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jc w:val="both"/>
              <w:rPr>
                <w:color w:val="4472C4"/>
                <w:kern w:val="2"/>
                <w:szCs w:val="24"/>
              </w:rPr>
            </w:pPr>
            <w:r>
              <w:rPr>
                <w:kern w:val="2"/>
                <w:szCs w:val="24"/>
              </w:rPr>
              <w:t xml:space="preserve">Visuotinės navigacijos ir padėties nustatymo įrenginiai, pirkimo Nr. </w:t>
            </w:r>
            <w:r>
              <w:rPr>
                <w:color w:val="4472C4"/>
                <w:kern w:val="2"/>
                <w:szCs w:val="24"/>
              </w:rPr>
              <w:t>(nurodoma sutarties sudarymo metu)</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3.3. Informacija apie Europos Sąjungos lėšomis finansuojamą projektą arba kitą projektą</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4. PREKIŲ PRISTATYMO TERMINAI IR PREKIŲ PERDAVIMO - PRIĖMIMO TVARKA</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4.1. Prekių pristatymo terminas, kai Prekės pristatomos vienu kartu</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60 (šešiasdešimt) kalendorinių dienų</w:t>
            </w:r>
            <w:r>
              <w:rPr>
                <w:color w:val="000000"/>
                <w:kern w:val="2"/>
                <w:szCs w:val="24"/>
              </w:rPr>
              <w:t xml:space="preserve"> nuo Sutarties įsigaliojimo dienos šiuo adresu: Savanorių pr. 176, Vilnius</w:t>
            </w:r>
            <w:r>
              <w:rPr>
                <w:kern w:val="2"/>
                <w:szCs w:val="24"/>
              </w:rPr>
              <w:t>.</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4.2. Prekių (ar jų dalies) pristatymo termino pratęsimas</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(dvi)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 darbo dienų laikotarpiui.</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4.3. Užsakymų teikimo tvarka</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4.4. Dėl minimalios užsakymo vertės / apimties</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4.5. Kartu su Prekėmis pateikiami dokumentai</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Kartu su Prekėmis pateikiami šie dokumentai: naudojimosi instrukcija lietuvių kalba, Prekių perdavimo – priėmimo aktas, sąskaita. Tiekėjui nepateikus nurodytų dokumentų, laikoma, kad Prekės neatitinka Sutartyje nustatytų reikalavimų.</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5. SUTARTIES KAINA IR ATSISKAITYMO TVARKA</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5.1. Sutarčiai taikomas kainos apskaičiavimo būdas</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Fiksuotos kainos kainodara</w:t>
            </w:r>
          </w:p>
          <w:p>
            <w:pPr>
              <w:pStyle w:val="Normal"/>
              <w:rPr>
                <w:color w:val="4472C4"/>
                <w:kern w:val="2"/>
              </w:rPr>
            </w:pPr>
            <w:r>
              <w:rPr>
                <w:color w:val="4472C4"/>
                <w:kern w:val="2"/>
              </w:rPr>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w:t>
            </w:r>
          </w:p>
          <w:p>
            <w:pPr>
              <w:pStyle w:val="Normal"/>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pPr>
              <w:pStyle w:val="Normal"/>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pPr>
              <w:pStyle w:val="Normal"/>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Sutarties kaina bus perskaičiuojami:</w:t>
            </w:r>
          </w:p>
          <w:p>
            <w:pPr>
              <w:pStyle w:val="Normal"/>
              <w:rPr>
                <w:color w:val="FF0000"/>
                <w:kern w:val="2"/>
                <w:szCs w:val="24"/>
              </w:rPr>
            </w:pPr>
            <w:r>
              <w:rPr>
                <w:kern w:val="2"/>
                <w:szCs w:val="24"/>
              </w:rPr>
              <w:t>5.3.1. dėl PVM tarifo pasikeitimo.</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5.3.1. Sutarties kainos / įkainių peržiūra dėl PVM tarifo pasikeitimo</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perskaičiuojami nekeičiant Prekių kainos be PVM.</w:t>
            </w:r>
          </w:p>
          <w:p>
            <w:pPr>
              <w:pStyle w:val="Normal"/>
              <w:jc w:val="both"/>
              <w:rPr>
                <w:kern w:val="2"/>
                <w:szCs w:val="24"/>
              </w:rPr>
            </w:pPr>
            <w:r>
              <w:rPr>
                <w:kern w:val="2"/>
                <w:szCs w:val="24"/>
              </w:rPr>
              <w:t>Perskaičiuota Sutarties kaina įforminama Susitarimu ir turi būti taikoma nuo naujo PVM įvedimo datos (nepriklausomai nuo to, kada pasirašytas Susitarimas).</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5.3.3. Sutarties kainos / įkainių peržiūra dėl kainų lygio pokyčio</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5.3.4. Sutarties kainos / įkainių peržiūra dėl kainų lygio pokyčio pagal Prekių grupių kainų pokyčius</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5.5. Atsiskaitymo su Tiekėju terminas ir tvarka</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Pirkėjas atsiskaito su Tiekėju ne vėliau kaip per 30 (trisdešimt) kalendorinių dienų nuo Sąskaitos gavimo dienos.</w:t>
            </w:r>
          </w:p>
          <w:p>
            <w:pPr>
              <w:pStyle w:val="Normal"/>
              <w:jc w:val="both"/>
              <w:rPr>
                <w:color w:val="FF0000"/>
                <w:kern w:val="2"/>
                <w:szCs w:val="24"/>
                <w:shd w:fill="FFFFFF" w:val="clear"/>
              </w:rPr>
            </w:pPr>
            <w:r>
              <w:rPr>
                <w:kern w:val="2"/>
                <w:szCs w:val="24"/>
                <w:shd w:fill="FFFFFF" w:val="clear"/>
              </w:rPr>
              <w:t>Apmokėjimo sąlygos: įvykdžius visus sutartinius įsipareigojimus, sumokama visa Sutarties kaina.</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5.6. Avansas</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5.7. Avanso užtikrinimas</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6. PREKIŲ KOKYBĖ IR GARANTINIAI ĮSIPAREIGOJIMAI</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6.1. Garantinis terminas</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 xml:space="preserve">Prekėms nustatomas Tiekėjo pasiūlytas garantinis terminas, kuris yra </w:t>
            </w:r>
            <w:r>
              <w:rPr>
                <w:color w:val="4472C4"/>
                <w:kern w:val="2"/>
                <w:szCs w:val="24"/>
              </w:rPr>
              <w:t>(įrašyti terminą mėnesiais / metais) (nurodoma sutarties sudarymo metu)</w:t>
            </w:r>
            <w:r>
              <w:rPr>
                <w:kern w:val="2"/>
                <w:szCs w:val="24"/>
              </w:rPr>
              <w:t>. Garantinis terminas, skaičiuojamas nuo Prekių perdavimo–priėmimo akto ar Sąskaitos (kai Prekių perdavimo–priėmimo aktas nėra pasirašomas) pasirašymo dienos.</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6.2. Garantinė priežiūra</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jc w:val="both"/>
              <w:rPr/>
            </w:pPr>
            <w:r>
              <w:rPr/>
              <w:t xml:space="preserve">Garantinio termino laikotarpiu nustačius Prekių trūkumų, Tiekėjas turi </w:t>
            </w:r>
            <w:r>
              <w:rPr>
                <w:b/>
                <w:bCs/>
              </w:rPr>
              <w:t>ne vėliau kaip</w:t>
            </w:r>
            <w:r>
              <w:rPr/>
              <w:t xml:space="preserve"> per 30 (trisdešimt) kalendorinių dienų nuo rašytinės pretenzijos gavimo dienos pašalinti Prekių trūkumus.</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6.3. Kokybinių kriterijų įgyvendinimo ir tikrinimo tvarka</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7. SUTARTIES VYKDYMUI PASITELKIAMI SUBTIEKĖJAI</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Sutarties vykdymui pasitelkiami subtiekėjai ir (ar) specialistai</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Sutarties vykdymui subtiekėjai ir (ar) specialistai nepasitelkiami.</w:t>
            </w:r>
          </w:p>
          <w:p>
            <w:pPr>
              <w:pStyle w:val="Normal"/>
              <w:jc w:val="both"/>
              <w:rPr>
                <w:kern w:val="2"/>
                <w:szCs w:val="24"/>
              </w:rPr>
            </w:pPr>
            <w:r>
              <w:rPr>
                <w:kern w:val="2"/>
                <w:szCs w:val="24"/>
              </w:rPr>
            </w:r>
          </w:p>
          <w:p>
            <w:pPr>
              <w:pStyle w:val="Normal"/>
              <w:jc w:val="both"/>
              <w:rPr>
                <w:color w:val="FF0000"/>
                <w:kern w:val="2"/>
                <w:szCs w:val="24"/>
              </w:rPr>
            </w:pPr>
            <w:r>
              <w:rPr>
                <w:color w:val="FF0000"/>
                <w:kern w:val="2"/>
                <w:szCs w:val="24"/>
              </w:rPr>
              <w:t>arba</w:t>
            </w:r>
          </w:p>
          <w:p>
            <w:pPr>
              <w:pStyle w:val="Normal"/>
              <w:jc w:val="both"/>
              <w:rPr>
                <w:kern w:val="2"/>
                <w:szCs w:val="24"/>
              </w:rPr>
            </w:pPr>
            <w:r>
              <w:rPr>
                <w:kern w:val="2"/>
                <w:szCs w:val="24"/>
              </w:rPr>
            </w:r>
          </w:p>
          <w:p>
            <w:pPr>
              <w:pStyle w:val="Normal"/>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„Pasiūlymo forma“.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8. PRIEVOLIŲ PAGAL SUTARTĮ ĮVYKDYMO UŽTIKRINIMAS</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8.1. Prievolių pagal Sutartį įvykdymo užtikrinimas</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Prievolių pagal Sutartį įvykdymas užtikrinamas:</w:t>
            </w:r>
          </w:p>
          <w:p>
            <w:pPr>
              <w:pStyle w:val="Normal"/>
              <w:jc w:val="both"/>
              <w:rPr>
                <w:kern w:val="2"/>
                <w:szCs w:val="24"/>
              </w:rPr>
            </w:pPr>
            <w:r>
              <w:rPr>
                <w:kern w:val="2"/>
                <w:szCs w:val="24"/>
              </w:rPr>
              <w:t>Netesybomis (delspinigiais, bauda).</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8.2. Sutarties įvykdymo užtikrinimo galiojimo terminas</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8.3. Sutarties įvykdymo užtikrinimo pateikimas</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9. ŠALIŲ ATSAKOMYBĖ</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9.1. Pirkėjui taikomos netesybos už mokėjimų pagal Sutartį vėlavimą</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jc w:val="both"/>
              <w:rPr>
                <w:color w:val="FF0000"/>
                <w:kern w:val="2"/>
                <w:szCs w:val="24"/>
              </w:rPr>
            </w:pPr>
            <w:r>
              <w:rPr>
                <w:color w:val="000000"/>
                <w:kern w:val="2"/>
                <w:szCs w:val="24"/>
              </w:rPr>
              <w:t xml:space="preserve">Jei </w:t>
            </w:r>
            <w:r>
              <w:rPr>
                <w:kern w:val="2"/>
                <w:szCs w:val="24"/>
              </w:rPr>
              <w:t>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9.2. Tiekėjui taikomos netesybos</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rPr>
            </w:pPr>
            <w:r>
              <w:rPr>
                <w:color w:val="000000"/>
                <w:kern w:val="2"/>
              </w:rPr>
              <w:t xml:space="preserve">9.2.1. Jeigu Tiekėjas vėluoja vykdyti užsakymą, tiekti Prekes ar ištaisyti jų </w:t>
            </w:r>
            <w:r>
              <w:rPr>
                <w:kern w:val="2"/>
              </w:rPr>
              <w:t>trūkumus</w:t>
            </w:r>
            <w:r>
              <w:rPr/>
              <w:t xml:space="preserve"> </w:t>
            </w:r>
            <w:r>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pPr>
              <w:pStyle w:val="Normal"/>
              <w:jc w:val="both"/>
              <w:rPr>
                <w:kern w:val="2"/>
                <w:szCs w:val="24"/>
              </w:rPr>
            </w:pPr>
            <w:r>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pPr>
              <w:pStyle w:val="Normal"/>
              <w:jc w:val="both"/>
              <w:rPr>
                <w:b/>
                <w:kern w:val="2"/>
              </w:rPr>
            </w:pPr>
            <w:r>
              <w:rPr>
                <w:color w:val="000000"/>
                <w:kern w:val="2"/>
              </w:rPr>
              <w:t xml:space="preserve">9.2.3. Tiekėjas privalo sumokėti Pirkėjui netesybas per 30 (trisdešimt) kalendorinių dienų nuo Pirkėjo pareikalavimo, jeigu netesybų suma nėra </w:t>
            </w:r>
            <w:r>
              <w:rPr/>
              <w:t>išskaitoma iš Tiekėjui mokėtinos sumos.</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9.3.1. Nutraukus Sutartį dėl esminio Sutarties pažeidimo, nustatyto Sutarties Specialiosiose sąlygose, mokama 2 (dviejų) procentų dydžio bauda nuo Pradinės Sutarties vertės be PVM, nurodytos Specialiųjų sąlygų 5.2 punkte.</w:t>
            </w:r>
          </w:p>
          <w:p>
            <w:pPr>
              <w:pStyle w:val="Normal"/>
              <w:jc w:val="both"/>
              <w:rPr>
                <w:szCs w:val="24"/>
              </w:rPr>
            </w:pPr>
            <w:r>
              <w:rPr>
                <w:kern w:val="2"/>
                <w:szCs w:val="24"/>
              </w:rPr>
              <w:t>9.3.2. </w:t>
            </w:r>
            <w:r>
              <w:rPr>
                <w:szCs w:val="24"/>
              </w:rPr>
              <w:t>Nepagrįstai nutraukus Sutarties vykdymą ne Sutartyje nustatyta tvarka, mokama 2 (dviejų)</w:t>
            </w:r>
            <w:r>
              <w:rPr>
                <w:kern w:val="2"/>
                <w:szCs w:val="24"/>
              </w:rPr>
              <w:t xml:space="preserve"> procentų dydžio bauda nuo Pradinės Sutarties vertės, nurodytos Specialiųjų sąlygų 5.2 punkte.</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9.4. Tiekėjui taikoma bauda dėl esamų subtiekėjų ar specialistų pakeitimo / naujų subtiekėjų pasitelkimo nesilaikant Bendrosiose sąlygose nurodytos subtiekėjų ir (ar) specialistų keitimo tvarkos</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color w:val="000000"/>
                <w:kern w:val="2"/>
                <w:szCs w:val="24"/>
              </w:rPr>
              <w:t>Netaikoma</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9.5. Tiekėjui taikomos baudos dėl aplinkosauginių ir (arba) socialinių kriterijų nesilaikymo</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000000"/>
                <w:kern w:val="2"/>
                <w:szCs w:val="24"/>
              </w:rPr>
              <w:t>100,00 (vienas šimtas eurų, 00 ct) Eur.</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9.6. Tiekėjui / Pirkėjui taikoma bauda dėl konfidencialumo reikalavimų nesilaikymo</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3 000,00 (trys tūkstančiai eurų, 00 ct) Eur.</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rPr>
            </w:pPr>
            <w:r>
              <w:rPr>
                <w:b/>
                <w:bCs/>
                <w:kern w:val="2"/>
              </w:rPr>
              <w:t>9.7. Tiekėjui taikomos netesybos dėl pirkimo dokumentuose nustatytų Kokybinių kriterijų nepasiekimo Sutarties vykdymo metu</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kern w:val="2"/>
                <w:szCs w:val="24"/>
              </w:rPr>
              <w:t>Netaikoma</w:t>
            </w:r>
          </w:p>
          <w:p>
            <w:pPr>
              <w:pStyle w:val="Normal"/>
              <w:rPr>
                <w:color w:val="4472C4"/>
                <w:kern w:val="2"/>
                <w:szCs w:val="24"/>
              </w:rPr>
            </w:pPr>
            <w:r>
              <w:rPr>
                <w:color w:val="4472C4"/>
                <w:kern w:val="2"/>
                <w:szCs w:val="24"/>
              </w:rPr>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9.8. Tiekėjui taikomos netesybos dėl Sutarties įvykdymo užtikrinimo nepratęsimo</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59"/>
              <w:rPr>
                <w:kern w:val="2"/>
                <w:szCs w:val="24"/>
              </w:rPr>
            </w:pPr>
            <w:r>
              <w:rPr>
                <w:kern w:val="2"/>
                <w:szCs w:val="24"/>
              </w:rPr>
              <w:t>Netaikoma</w:t>
            </w:r>
          </w:p>
          <w:p>
            <w:pPr>
              <w:pStyle w:val="Normal"/>
              <w:rPr>
                <w:sz w:val="14"/>
                <w:szCs w:val="14"/>
              </w:rPr>
            </w:pPr>
            <w:r>
              <w:rPr>
                <w:sz w:val="14"/>
                <w:szCs w:val="14"/>
              </w:rPr>
            </w:r>
          </w:p>
          <w:p>
            <w:pPr>
              <w:pStyle w:val="Normal"/>
              <w:spacing w:lineRule="auto" w:line="259"/>
              <w:rPr>
                <w:kern w:val="2"/>
                <w:sz w:val="22"/>
                <w:szCs w:val="24"/>
              </w:rPr>
            </w:pPr>
            <w:r>
              <w:rPr>
                <w:kern w:val="2"/>
                <w:sz w:val="22"/>
                <w:szCs w:val="24"/>
              </w:rPr>
            </w:r>
          </w:p>
          <w:p>
            <w:pPr>
              <w:pStyle w:val="Normal"/>
              <w:rPr>
                <w:sz w:val="14"/>
                <w:szCs w:val="14"/>
              </w:rPr>
            </w:pPr>
            <w:r>
              <w:rPr>
                <w:sz w:val="14"/>
                <w:szCs w:val="14"/>
              </w:rPr>
            </w:r>
          </w:p>
          <w:p>
            <w:pPr>
              <w:pStyle w:val="Normal"/>
              <w:rPr>
                <w:color w:val="4472C4"/>
                <w:kern w:val="2"/>
                <w:szCs w:val="24"/>
              </w:rPr>
            </w:pPr>
            <w:r>
              <w:rPr>
                <w:color w:val="4472C4"/>
                <w:kern w:val="2"/>
                <w:szCs w:val="24"/>
              </w:rPr>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9.10. Kitos netesybos</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kern w:val="2"/>
                <w:szCs w:val="24"/>
              </w:rPr>
              <w:t>10. ESMINĖS SUTARTIES SĄLYGOS</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rPr>
            </w:pPr>
            <w:r>
              <w:rPr>
                <w:b/>
                <w:bCs/>
              </w:rPr>
              <w:t>10.1. Esminės Sutarties sąlygos</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jc w:val="both"/>
              <w:rPr>
                <w:b/>
                <w:bCs/>
                <w:color w:val="4472C4"/>
                <w:kern w:val="2"/>
                <w:szCs w:val="24"/>
              </w:rPr>
            </w:pPr>
            <w:r>
              <w:rPr>
                <w:kern w:val="2"/>
                <w:szCs w:val="24"/>
              </w:rPr>
              <w:t>Šalys susitaria, kad Sutarties 4.1 p. ir 6.2 p. yra esminės Sutarties sąlygos.</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10.2. Dideli arba nuolatiniai esminės Sutarties sąlygos vykdymo trūkumai</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10.2.1 Tiekėjo uždelsimas, pristatyti Prekes, trunkantis ilgiau nei 5 (penkios) darbo dienos.</w:t>
            </w:r>
          </w:p>
          <w:p>
            <w:pPr>
              <w:pStyle w:val="Normal"/>
              <w:jc w:val="both"/>
              <w:rPr>
                <w:kern w:val="2"/>
                <w:szCs w:val="24"/>
              </w:rPr>
            </w:pPr>
            <w:r>
              <w:rPr>
                <w:kern w:val="2"/>
                <w:szCs w:val="24"/>
              </w:rPr>
              <w:t>10.2.2. Tiekėjo uždelsimas, pašalinti Prekių trūkumus, trunkantis ilgiau nei 5 (penkios) darbo dienos.</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11. SUTARTIES GALIOJIMAS IR KEITIMAS</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11.1. Sutarties sudarymas ir įsigaliojimas</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Ši Sutartis laikoma sudaryta ir įsigalioja nuo Sutarties pasirašymo dienos (antrosios Šalies pasirašymo dieną) ir nustatyta tvarka užregistravus.</w:t>
            </w:r>
          </w:p>
          <w:p>
            <w:pPr>
              <w:pStyle w:val="Normal"/>
              <w:jc w:val="both"/>
              <w:rPr>
                <w:color w:val="4472C4"/>
                <w:kern w:val="2"/>
                <w:szCs w:val="24"/>
              </w:rPr>
            </w:pPr>
            <w:r>
              <w:rPr>
                <w:color w:val="000000"/>
                <w:kern w:val="2"/>
                <w:szCs w:val="24"/>
              </w:rPr>
              <w:t>Sutartis galioja iki visiško prievolių įvykdymo (kol bus išnaudota Pradinės Sutarties vertė), bet jos terminas negali būti ilgesnis kaip 5 (penki) mėnesiai (įskaitant vieno mėnesio terminą atsiskaitymui).</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11.2. Sutarties galiojimo termino pratęsimas</w:t>
            </w:r>
          </w:p>
        </w:tc>
        <w:tc>
          <w:tcPr>
            <w:tcW w:w="6833"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12. SUTARTIES NUTRAUKIMAS</w:t>
            </w:r>
          </w:p>
        </w:tc>
      </w:tr>
      <w:tr>
        <w:trPr>
          <w:trHeight w:val="300" w:hRule="atLeast"/>
        </w:trPr>
        <w:tc>
          <w:tcPr>
            <w:tcW w:w="2686"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12.1. Sutarties nutraukimo pagrindai</w:t>
            </w:r>
          </w:p>
        </w:tc>
        <w:tc>
          <w:tcPr>
            <w:tcW w:w="6848" w:type="dxa"/>
            <w:gridSpan w:val="3"/>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trPr>
          <w:trHeight w:val="300" w:hRule="atLeast"/>
        </w:trPr>
        <w:tc>
          <w:tcPr>
            <w:tcW w:w="2686"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12.2. Esminiai Sutarties pažeidimai</w:t>
            </w:r>
          </w:p>
          <w:p>
            <w:pPr>
              <w:pStyle w:val="Normal"/>
              <w:rPr>
                <w:b/>
                <w:bCs/>
                <w:kern w:val="2"/>
                <w:szCs w:val="24"/>
              </w:rPr>
            </w:pPr>
            <w:r>
              <w:rPr>
                <w:b/>
                <w:bCs/>
                <w:kern w:val="2"/>
                <w:szCs w:val="24"/>
              </w:rPr>
            </w:r>
          </w:p>
        </w:tc>
        <w:tc>
          <w:tcPr>
            <w:tcW w:w="6848" w:type="dxa"/>
            <w:gridSpan w:val="3"/>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12.2.1. jeigu Tiekėjas nevykdo prisiimtų įsipareigojimų už Sutartyje nustatytą Sutarties kainą;</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kern w:val="2"/>
                <w:szCs w:val="24"/>
              </w:rPr>
            </w:pPr>
            <w:r>
              <w:rPr>
                <w:rFonts w:eastAsia="Arial"/>
                <w:kern w:val="2"/>
                <w:szCs w:val="24"/>
              </w:rPr>
              <w:t>12.2.2. jeigu Tiekėjas pažeidžia Prekių pristatymo terminus ir priskaičiuotų netesybų už vėlavimą suma viršija 20 (dvidešimt) proc. Pradinės sutarties vertės;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kern w:val="2"/>
                <w:szCs w:val="24"/>
              </w:rPr>
            </w:pPr>
            <w:r>
              <w:rPr>
                <w:rFonts w:eastAsia="Arial"/>
                <w:kern w:val="2"/>
                <w:szCs w:val="24"/>
              </w:rPr>
              <w:t>12.2.3. Tiekėjas pažeidžia Prekių pristatymo terminus ir dėl Prekių pristatymo vėlavimo Prekės tampa nebereikalingos;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kern w:val="2"/>
                <w:szCs w:val="24"/>
              </w:rPr>
            </w:pPr>
            <w:r>
              <w:rPr>
                <w:rFonts w:eastAsia="Arial"/>
                <w:kern w:val="2"/>
                <w:szCs w:val="24"/>
              </w:rPr>
              <w:t>12.2.4. Tiekėjas daugiau kaip 2 (du) kartus pristato Prekes, kurios neatitinka Sutartyje ir (ar) Įstatymuose nustatytų reikalavimų Prekėms;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color w:val="FF0000"/>
                <w:kern w:val="2"/>
                <w:szCs w:val="24"/>
              </w:rPr>
            </w:pPr>
            <w:r>
              <w:rPr>
                <w:rFonts w:eastAsia="Arial"/>
                <w:kern w:val="2"/>
              </w:rPr>
              <w:t>12.2.5. Tiekėjas 2 (du) kartus pažeidžia esminę Sutarties sąlygą.</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b/>
                <w:bCs/>
                <w:kern w:val="2"/>
                <w:szCs w:val="24"/>
              </w:rPr>
              <w:t>13. APLINKOSAUGINIAI IR SOCIALINIAI KRITERIJAI</w:t>
            </w:r>
          </w:p>
        </w:tc>
      </w:tr>
      <w:tr>
        <w:trPr>
          <w:trHeight w:val="300" w:hRule="atLeast"/>
        </w:trPr>
        <w:tc>
          <w:tcPr>
            <w:tcW w:w="2686"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13.1. Aplinkosauginių kriterijų nustatymo teisinis pagrindas</w:t>
            </w:r>
          </w:p>
        </w:tc>
        <w:tc>
          <w:tcPr>
            <w:tcW w:w="6848" w:type="dxa"/>
            <w:gridSpan w:val="3"/>
            <w:tcBorders>
              <w:top w:val="single" w:sz="4" w:space="0" w:color="000000"/>
              <w:left w:val="single" w:sz="4" w:space="0" w:color="000000"/>
              <w:bottom w:val="single" w:sz="4" w:space="0" w:color="000000"/>
              <w:right w:val="single" w:sz="4" w:space="0" w:color="000000"/>
            </w:tcBorders>
          </w:tcPr>
          <w:p>
            <w:pPr>
              <w:pStyle w:val="Normal"/>
              <w:jc w:val="both"/>
              <w:rPr>
                <w:color w:val="000000"/>
                <w:kern w:val="2"/>
                <w:szCs w:val="24"/>
              </w:rPr>
            </w:pPr>
            <w:r>
              <w:rPr>
                <w:color w:val="000000"/>
                <w:kern w:val="2"/>
                <w:szCs w:val="24"/>
                <w:shd w:fill="FFFFFF" w:val="clear"/>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fill="FFFFFF" w:val="clear"/>
              </w:rPr>
              <w:t> „Dėl Aplinkos apsaugos kriterijų taikymo, vykdant žaliuosius pirkimus, tvarkos aprašo patvirtinimo“ (toliau – Tvarkos aprašas) 4.4.4.1 papunktis.</w:t>
            </w:r>
          </w:p>
          <w:p>
            <w:pPr>
              <w:pStyle w:val="Normal"/>
              <w:jc w:val="both"/>
              <w:rPr>
                <w:color w:val="000000"/>
                <w:kern w:val="2"/>
                <w:szCs w:val="24"/>
                <w:shd w:fill="FFFFFF" w:val="clear"/>
              </w:rPr>
            </w:pPr>
            <w:r>
              <w:rPr>
                <w:color w:val="000000"/>
                <w:kern w:val="2"/>
                <w:szCs w:val="24"/>
                <w:shd w:fill="FFFFFF" w:val="clear"/>
              </w:rPr>
              <w:t>Nustačius, kad Tiekėjas šiame papunktyje nustatyto kriterijaus (-jų) nesilaiko, Tiekėjui taikoma Specialiųjų sąlygų 9.5 punkte nurodyto dydžio bauda.</w:t>
            </w:r>
          </w:p>
        </w:tc>
      </w:tr>
      <w:tr>
        <w:trPr>
          <w:trHeight w:val="300" w:hRule="atLeast"/>
        </w:trPr>
        <w:tc>
          <w:tcPr>
            <w:tcW w:w="2686"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13.2.  Su perkamomis Prekėmis susiję socialiniai kriterijai</w:t>
            </w:r>
          </w:p>
        </w:tc>
        <w:tc>
          <w:tcPr>
            <w:tcW w:w="6848" w:type="dxa"/>
            <w:gridSpan w:val="3"/>
            <w:tcBorders>
              <w:top w:val="single" w:sz="4" w:space="0" w:color="000000"/>
              <w:left w:val="single" w:sz="4" w:space="0" w:color="000000"/>
              <w:bottom w:val="single" w:sz="4" w:space="0" w:color="000000"/>
              <w:right w:val="single" w:sz="4" w:space="0" w:color="000000"/>
            </w:tcBorders>
          </w:tcPr>
          <w:p>
            <w:pPr>
              <w:pStyle w:val="Normal"/>
              <w:rPr>
                <w:color w:val="000000"/>
                <w:kern w:val="2"/>
                <w:szCs w:val="24"/>
                <w:shd w:fill="FFFFFF" w:val="clear"/>
              </w:rPr>
            </w:pPr>
            <w:r>
              <w:rPr>
                <w:color w:val="000000"/>
                <w:kern w:val="2"/>
                <w:szCs w:val="24"/>
                <w:shd w:fill="FFFFFF" w:val="clear"/>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14. BENDRŲJŲ SĄLYGŲ PAKEITIMAI IR PAPILDYMAI</w:t>
            </w:r>
          </w:p>
        </w:tc>
      </w:tr>
      <w:tr>
        <w:trPr>
          <w:trHeight w:val="300" w:hRule="atLeast"/>
        </w:trPr>
        <w:tc>
          <w:tcPr>
            <w:tcW w:w="2686"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14.1.</w:t>
            </w:r>
          </w:p>
        </w:tc>
        <w:tc>
          <w:tcPr>
            <w:tcW w:w="6848" w:type="dxa"/>
            <w:gridSpan w:val="3"/>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Šalys susitaria papildyti Sutarties Bendrųjų sąlygų 3.1 punktą nurodytais punktais, tačiau kitų punktų numeracijos nekeisti:</w:t>
            </w:r>
          </w:p>
          <w:p>
            <w:pPr>
              <w:pStyle w:val="Normal"/>
              <w:jc w:val="both"/>
              <w:rPr>
                <w:kern w:val="2"/>
                <w:szCs w:val="24"/>
              </w:rPr>
            </w:pPr>
            <w:r>
              <w:rPr>
                <w:kern w:val="2"/>
                <w:szCs w:val="24"/>
              </w:rPr>
              <w:t>„</w:t>
            </w:r>
            <w:r>
              <w:rPr>
                <w:kern w:val="2"/>
                <w:szCs w:val="24"/>
              </w:rPr>
              <w:t>3.1.4. Tiekėjas, prieš pradedant vykdyti Sutartį, įsipareigoja supažindinti Sutartį vykdysiančius Tiekėjo (ir subtiekėjo, jeigu jis pasitelkiamas) darbuotojus:</w:t>
            </w:r>
          </w:p>
          <w:p>
            <w:pPr>
              <w:pStyle w:val="Normal"/>
              <w:jc w:val="both"/>
              <w:rPr>
                <w:kern w:val="2"/>
                <w:szCs w:val="24"/>
              </w:rPr>
            </w:pPr>
            <w:r>
              <w:rPr>
                <w:kern w:val="2"/>
                <w:szCs w:val="24"/>
              </w:rPr>
              <w:t xml:space="preserve">3.1.4.1.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3">
              <w:r>
                <w:rPr>
                  <w:rStyle w:val="Hyperlink"/>
                  <w:kern w:val="2"/>
                  <w:szCs w:val="24"/>
                </w:rPr>
                <w:t>https://vmu.lt/wp-content/uploads/2021/08/Antikorupcine-politika.pdf</w:t>
              </w:r>
            </w:hyperlink>
            <w:r>
              <w:rPr>
                <w:kern w:val="2"/>
                <w:szCs w:val="24"/>
              </w:rPr>
              <w:t>.</w:t>
            </w:r>
          </w:p>
          <w:p>
            <w:pPr>
              <w:pStyle w:val="Normal"/>
              <w:jc w:val="both"/>
              <w:rPr>
                <w:kern w:val="2"/>
                <w:szCs w:val="24"/>
              </w:rPr>
            </w:pPr>
            <w:r>
              <w:rPr>
                <w:kern w:val="2"/>
                <w:szCs w:val="24"/>
              </w:rPr>
              <w:t xml:space="preserve">3.1.4.2. Dovanų politika – dokumentas, kuriuo apibrėžiamos valstybės įmonės Valstybinių miškų urėdijos darbuotojų elgesio su dovanomis ir neteisėtu atlygiu principinės nuostatos. Su dokumentu galima susipažinti </w:t>
            </w:r>
            <w:hyperlink r:id="rId4">
              <w:r>
                <w:rPr>
                  <w:rStyle w:val="Hyperlink"/>
                  <w:kern w:val="2"/>
                  <w:szCs w:val="24"/>
                </w:rPr>
                <w:t>https://vmu.lt/wp-content/uploads/2022/09/Dovanu-politika-1.pdf</w:t>
              </w:r>
            </w:hyperlink>
            <w:r>
              <w:rPr>
                <w:kern w:val="2"/>
                <w:szCs w:val="24"/>
              </w:rPr>
              <w:t xml:space="preserve">. </w:t>
              <w:br/>
              <w:t>3.1.4.3.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w:t>
            </w:r>
          </w:p>
          <w:p>
            <w:pPr>
              <w:pStyle w:val="Normal"/>
              <w:jc w:val="both"/>
              <w:rPr>
                <w:kern w:val="2"/>
                <w:szCs w:val="24"/>
              </w:rPr>
            </w:pPr>
            <w:hyperlink r:id="rId5">
              <w:r>
                <w:rPr>
                  <w:rStyle w:val="Hyperlink"/>
                  <w:kern w:val="2"/>
                  <w:szCs w:val="24"/>
                </w:rPr>
                <w:t>https://vmu.lt/wp-content/uploads/2021/08/Interesu-konfliktu-vengimo-politika.pdf</w:t>
              </w:r>
            </w:hyperlink>
            <w:r>
              <w:rPr>
                <w:kern w:val="2"/>
                <w:szCs w:val="24"/>
              </w:rPr>
              <w:t>.</w:t>
            </w:r>
          </w:p>
          <w:p>
            <w:pPr>
              <w:pStyle w:val="Normal"/>
              <w:jc w:val="both"/>
              <w:rPr>
                <w:color w:val="000000"/>
                <w:kern w:val="2"/>
                <w:szCs w:val="24"/>
              </w:rPr>
            </w:pPr>
            <w:r>
              <w:rPr>
                <w:kern w:val="2"/>
                <w:szCs w:val="24"/>
              </w:rPr>
              <w:t>3.1.4.4.</w:t>
            </w:r>
            <w:r>
              <w:rPr>
                <w:color w:val="000000"/>
                <w:kern w:val="2"/>
                <w:szCs w:val="24"/>
              </w:rPr>
              <w:t xml:space="preserve"> Tiekėjo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6">
              <w:r>
                <w:rPr>
                  <w:rStyle w:val="Hyperlink"/>
                  <w:kern w:val="2"/>
                  <w:szCs w:val="24"/>
                </w:rPr>
                <w:t>https://vmu.lt/korupcijos-prevencija/</w:t>
              </w:r>
            </w:hyperlink>
            <w:r>
              <w:rPr>
                <w:color w:val="000000"/>
                <w:kern w:val="2"/>
                <w:szCs w:val="24"/>
              </w:rPr>
              <w:t>, skiltis „Tiekėjų elgesio kodeksas ir kiti reikalavimai VMU veiklos partneriams“.</w:t>
            </w:r>
          </w:p>
          <w:p>
            <w:pPr>
              <w:pStyle w:val="Normal"/>
              <w:jc w:val="both"/>
              <w:rPr>
                <w:color w:val="000000"/>
                <w:kern w:val="2"/>
                <w:szCs w:val="24"/>
              </w:rPr>
            </w:pPr>
            <w:r>
              <w:rPr>
                <w:color w:val="000000"/>
                <w:kern w:val="2"/>
                <w:szCs w:val="24"/>
              </w:rPr>
              <w:t>3.1.5.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pPr>
              <w:pStyle w:val="Normal"/>
              <w:jc w:val="both"/>
              <w:rPr>
                <w:color w:val="000000"/>
                <w:kern w:val="2"/>
                <w:szCs w:val="24"/>
              </w:rPr>
            </w:pPr>
            <w:r>
              <w:rPr>
                <w:color w:val="000000"/>
                <w:kern w:val="2"/>
                <w:szCs w:val="24"/>
              </w:rPr>
              <w:t>3.1.6.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pPr>
              <w:pStyle w:val="Normal"/>
              <w:jc w:val="both"/>
              <w:rPr>
                <w:color w:val="000000"/>
                <w:kern w:val="2"/>
                <w:szCs w:val="24"/>
              </w:rPr>
            </w:pPr>
            <w:r>
              <w:rPr>
                <w:color w:val="000000"/>
                <w:kern w:val="2"/>
                <w:szCs w:val="24"/>
              </w:rPr>
              <w:t>3.1.7.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pPr>
              <w:pStyle w:val="Normal"/>
              <w:jc w:val="both"/>
              <w:rPr>
                <w:color w:val="000000"/>
                <w:kern w:val="2"/>
                <w:szCs w:val="24"/>
              </w:rPr>
            </w:pPr>
            <w:r>
              <w:rPr>
                <w:color w:val="000000"/>
                <w:kern w:val="2"/>
                <w:szCs w:val="24"/>
              </w:rPr>
              <w:t>3.1.8.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p>
            <w:pPr>
              <w:pStyle w:val="Normal"/>
              <w:rPr>
                <w:kern w:val="2"/>
                <w:szCs w:val="24"/>
              </w:rPr>
            </w:pPr>
            <w:r>
              <w:rPr>
                <w:kern w:val="2"/>
                <w:szCs w:val="24"/>
              </w:rPr>
            </w:r>
          </w:p>
          <w:p>
            <w:pPr>
              <w:pStyle w:val="Normal"/>
              <w:jc w:val="both"/>
              <w:rPr>
                <w:color w:val="000000"/>
                <w:kern w:val="2"/>
                <w:szCs w:val="24"/>
              </w:rPr>
            </w:pPr>
            <w:r>
              <w:rPr>
                <w:color w:val="000000"/>
                <w:kern w:val="2"/>
                <w:szCs w:val="24"/>
              </w:rPr>
              <w:t>Šalys susitaria papildyti Sutarties Bendrąsias sąlygas nurodytu punktu:</w:t>
            </w:r>
          </w:p>
          <w:p>
            <w:pPr>
              <w:pStyle w:val="Normal"/>
              <w:jc w:val="both"/>
              <w:rPr>
                <w:color w:val="000000"/>
                <w:kern w:val="2"/>
                <w:szCs w:val="24"/>
              </w:rPr>
            </w:pPr>
            <w:r>
              <w:rPr>
                <w:color w:val="000000"/>
                <w:kern w:val="2"/>
                <w:szCs w:val="24"/>
              </w:rPr>
              <w:t>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(Specialiųjų sutarties sąlygų 3 priedas).</w:t>
            </w:r>
          </w:p>
          <w:p>
            <w:pPr>
              <w:pStyle w:val="Normal"/>
              <w:jc w:val="both"/>
              <w:rPr>
                <w:color w:val="000000"/>
                <w:kern w:val="2"/>
                <w:szCs w:val="24"/>
              </w:rPr>
            </w:pPr>
            <w:r>
              <w:rPr>
                <w:color w:val="000000"/>
                <w:kern w:val="2"/>
                <w:szCs w:val="24"/>
              </w:rPr>
            </w:r>
          </w:p>
          <w:p>
            <w:pPr>
              <w:pStyle w:val="Normal"/>
              <w:jc w:val="both"/>
              <w:rPr>
                <w:kern w:val="2"/>
                <w:szCs w:val="24"/>
              </w:rPr>
            </w:pPr>
            <w:r>
              <w:rPr>
                <w:kern w:val="2"/>
                <w:szCs w:val="24"/>
              </w:rPr>
              <w:t>Šalys susitaria papildyti Sutarties Bendrąsias sąlygas 26 skyriumi „Baigiamosios nuostatos“:</w:t>
            </w:r>
          </w:p>
          <w:p>
            <w:pPr>
              <w:pStyle w:val="Normal"/>
              <w:jc w:val="both"/>
              <w:rPr>
                <w:kern w:val="2"/>
                <w:szCs w:val="24"/>
              </w:rPr>
            </w:pPr>
            <w:r>
              <w:rPr>
                <w:kern w:val="2"/>
                <w:szCs w:val="24"/>
              </w:rPr>
              <w:t>„</w:t>
            </w:r>
            <w:r>
              <w:rPr>
                <w:kern w:val="2"/>
                <w:szCs w:val="24"/>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trPr>
          <w:trHeight w:val="300" w:hRule="atLeast"/>
        </w:trPr>
        <w:tc>
          <w:tcPr>
            <w:tcW w:w="2686"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14.2.</w:t>
            </w:r>
          </w:p>
        </w:tc>
        <w:tc>
          <w:tcPr>
            <w:tcW w:w="6848"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15. SUTARTIES PRIEDAI</w:t>
            </w:r>
          </w:p>
        </w:tc>
      </w:tr>
      <w:tr>
        <w:trPr>
          <w:trHeight w:val="300" w:hRule="atLeast"/>
        </w:trPr>
        <w:tc>
          <w:tcPr>
            <w:tcW w:w="2686"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15.1. Priedas Nr. 1</w:t>
            </w:r>
          </w:p>
        </w:tc>
        <w:tc>
          <w:tcPr>
            <w:tcW w:w="6848"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b/>
                <w:bCs/>
                <w:kern w:val="2"/>
                <w:szCs w:val="24"/>
              </w:rPr>
            </w:pPr>
            <w:r>
              <w:rPr>
                <w:b/>
                <w:bCs/>
                <w:kern w:val="2"/>
                <w:szCs w:val="24"/>
              </w:rPr>
              <w:t>Techninė specifikacija</w:t>
            </w:r>
          </w:p>
        </w:tc>
      </w:tr>
      <w:tr>
        <w:trPr>
          <w:trHeight w:val="300" w:hRule="atLeast"/>
        </w:trPr>
        <w:tc>
          <w:tcPr>
            <w:tcW w:w="2686"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15.2. Priedas Nr. 2</w:t>
            </w:r>
          </w:p>
        </w:tc>
        <w:tc>
          <w:tcPr>
            <w:tcW w:w="6848"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b/>
                <w:bCs/>
                <w:kern w:val="2"/>
                <w:szCs w:val="24"/>
              </w:rPr>
            </w:pPr>
            <w:r>
              <w:rPr>
                <w:b/>
                <w:bCs/>
                <w:kern w:val="2"/>
                <w:szCs w:val="24"/>
              </w:rPr>
              <w:t>Bendrosios sutarties sąlygos</w:t>
            </w:r>
          </w:p>
        </w:tc>
      </w:tr>
      <w:tr>
        <w:trPr>
          <w:trHeight w:val="300" w:hRule="atLeast"/>
        </w:trPr>
        <w:tc>
          <w:tcPr>
            <w:tcW w:w="2686"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15.3. Priedas Nr. 3</w:t>
            </w:r>
          </w:p>
        </w:tc>
        <w:tc>
          <w:tcPr>
            <w:tcW w:w="6848"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b/>
                <w:bCs/>
                <w:kern w:val="2"/>
                <w:szCs w:val="24"/>
              </w:rPr>
            </w:pPr>
            <w:r>
              <w:rPr>
                <w:b/>
                <w:bCs/>
                <w:kern w:val="2"/>
                <w:szCs w:val="24"/>
              </w:rPr>
              <w:t>Įsipareigojimas neatskleisti konfidencialios informacijos</w:t>
            </w:r>
          </w:p>
        </w:tc>
      </w:tr>
      <w:tr>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16. ŠALIŲ ATSTOVŲ PARAŠAI</w:t>
            </w:r>
          </w:p>
        </w:tc>
      </w:tr>
      <w:tr>
        <w:trPr/>
        <w:tc>
          <w:tcPr>
            <w:tcW w:w="4786"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PIRKĖJAS</w:t>
            </w:r>
          </w:p>
        </w:tc>
        <w:tc>
          <w:tcPr>
            <w:tcW w:w="4748"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TIEKĖJAS</w:t>
            </w:r>
          </w:p>
        </w:tc>
      </w:tr>
      <w:tr>
        <w:trPr/>
        <w:tc>
          <w:tcPr>
            <w:tcW w:w="4786" w:type="dxa"/>
            <w:gridSpan w:val="3"/>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t>(nurodomos atstovo pareigos, vardas, pavardė)</w:t>
            </w:r>
          </w:p>
        </w:tc>
        <w:tc>
          <w:tcPr>
            <w:tcW w:w="4748"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kern w:val="2"/>
                <w:szCs w:val="24"/>
              </w:rPr>
              <w:t>(nurodomos atstovo pareigos, vardas, pavardė)</w:t>
            </w:r>
          </w:p>
        </w:tc>
      </w:tr>
      <w:tr>
        <w:trPr/>
        <w:tc>
          <w:tcPr>
            <w:tcW w:w="4786"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r>
          </w:p>
          <w:p>
            <w:pPr>
              <w:pStyle w:val="Normal"/>
              <w:jc w:val="center"/>
              <w:rPr>
                <w:b/>
                <w:bCs/>
                <w:kern w:val="2"/>
                <w:szCs w:val="24"/>
              </w:rPr>
            </w:pPr>
            <w:r>
              <w:rPr>
                <w:b/>
                <w:bCs/>
                <w:kern w:val="2"/>
                <w:szCs w:val="24"/>
              </w:rPr>
              <w:t>(parašas)</w:t>
            </w:r>
          </w:p>
          <w:p>
            <w:pPr>
              <w:pStyle w:val="Normal"/>
              <w:jc w:val="center"/>
              <w:rPr>
                <w:b/>
                <w:bCs/>
                <w:kern w:val="2"/>
                <w:szCs w:val="24"/>
              </w:rPr>
            </w:pPr>
            <w:r>
              <w:rPr>
                <w:b/>
                <w:bCs/>
                <w:kern w:val="2"/>
                <w:szCs w:val="24"/>
              </w:rPr>
            </w:r>
          </w:p>
          <w:p>
            <w:pPr>
              <w:pStyle w:val="Normal"/>
              <w:jc w:val="center"/>
              <w:rPr>
                <w:b/>
                <w:bCs/>
                <w:kern w:val="2"/>
                <w:szCs w:val="24"/>
              </w:rPr>
            </w:pPr>
            <w:r>
              <w:rPr>
                <w:b/>
                <w:bCs/>
                <w:kern w:val="2"/>
                <w:szCs w:val="24"/>
              </w:rPr>
            </w:r>
          </w:p>
        </w:tc>
        <w:tc>
          <w:tcPr>
            <w:tcW w:w="4748"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r>
          </w:p>
          <w:p>
            <w:pPr>
              <w:pStyle w:val="Normal"/>
              <w:jc w:val="center"/>
              <w:rPr>
                <w:b/>
                <w:bCs/>
                <w:kern w:val="2"/>
                <w:szCs w:val="24"/>
              </w:rPr>
            </w:pPr>
            <w:r>
              <w:rPr>
                <w:b/>
                <w:bCs/>
                <w:kern w:val="2"/>
                <w:szCs w:val="24"/>
              </w:rPr>
              <w:t>(parašas)</w:t>
            </w:r>
          </w:p>
        </w:tc>
      </w:tr>
    </w:tbl>
    <w:p>
      <w:pPr>
        <w:pStyle w:val="Normal"/>
        <w:widowControl w:val="false"/>
        <w:tabs>
          <w:tab w:val="clear" w:pos="1296"/>
          <w:tab w:val="left" w:pos="567" w:leader="none"/>
          <w:tab w:val="left" w:pos="851" w:leader="none"/>
        </w:tabs>
        <w:jc w:val="center"/>
        <w:rPr>
          <w:b/>
          <w:bCs/>
          <w:caps/>
          <w:kern w:val="2"/>
          <w:szCs w:val="24"/>
        </w:rPr>
      </w:pPr>
      <w:r>
        <w:rPr>
          <w:b/>
          <w:bCs/>
          <w:caps/>
          <w:kern w:val="2"/>
          <w:szCs w:val="24"/>
        </w:rPr>
      </w:r>
    </w:p>
    <w:p>
      <w:pPr>
        <w:pStyle w:val="Normal"/>
        <w:jc w:val="center"/>
        <w:rPr>
          <w:szCs w:val="24"/>
        </w:rPr>
      </w:pPr>
      <w:r>
        <w:rPr>
          <w:color w:val="000000"/>
          <w:szCs w:val="24"/>
        </w:rPr>
        <w:t>_______________</w:t>
      </w:r>
    </w:p>
    <w:p>
      <w:pPr>
        <w:pStyle w:val="Normal"/>
        <w:spacing w:lineRule="auto" w:line="259"/>
        <w:rPr>
          <w:szCs w:val="24"/>
        </w:rPr>
      </w:pPr>
      <w:r>
        <w:rPr>
          <w:szCs w:val="24"/>
        </w:rPr>
      </w:r>
    </w:p>
    <w:p>
      <w:pPr>
        <w:pStyle w:val="Normal"/>
        <w:rPr/>
      </w:pPr>
      <w:r>
        <w:rPr/>
      </w:r>
    </w:p>
    <w:sectPr>
      <w:headerReference w:type="even" r:id="rId7"/>
      <w:headerReference w:type="default" r:id="rId8"/>
      <w:headerReference w:type="first" r:id="rId9"/>
      <w:footerReference w:type="even" r:id="rId10"/>
      <w:footerReference w:type="default" r:id="rId11"/>
      <w:footerReference w:type="first" r:id="rId12"/>
      <w:type w:val="nextPage"/>
      <w:pgSz w:w="12240" w:h="15840"/>
      <w:pgMar w:left="1701" w:right="567" w:gutter="0" w:header="720" w:top="1701" w:footer="72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right"/>
      <w:rPr/>
    </w:pPr>
    <w:r>
      <w:rPr/>
      <w:t>Specialiųjų atviro konkurso sąlygų 5 priedas „Specialiosios sutarties sąlygos“</w:t>
    </w:r>
  </w:p>
</w:hdr>
</file>

<file path=word/settings.xml><?xml version="1.0" encoding="utf-8"?>
<w:settings xmlns:w="http://schemas.openxmlformats.org/wordprocessingml/2006/main">
  <w:zoom w:percent="100"/>
  <w:trackRevisions/>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InternetLink" w:customStyle="1">
    <w:name w:val="Internet Link"/>
    <w:basedOn w:val="DefaultParagraphFont"/>
    <w:unhideWhenUsed/>
    <w:qFormat/>
    <w:rsid w:val="009a7253"/>
    <w:rPr>
      <w:color w:themeColor="hyperlink" w:val="0563C1"/>
      <w:u w:val="single"/>
    </w:rPr>
  </w:style>
  <w:style w:type="character" w:styleId="CommentReference">
    <w:name w:val="annotation reference"/>
    <w:basedOn w:val="DefaultParagraphFont"/>
    <w:semiHidden/>
    <w:unhideWhenUsed/>
    <w:qFormat/>
    <w:rsid w:val="009b2ed2"/>
    <w:rPr>
      <w:sz w:val="16"/>
      <w:szCs w:val="16"/>
    </w:rPr>
  </w:style>
  <w:style w:type="character" w:styleId="KomentarotekstasDiagrama" w:customStyle="1">
    <w:name w:val="Komentaro tekstas Diagrama"/>
    <w:basedOn w:val="DefaultParagraphFont"/>
    <w:qFormat/>
    <w:rsid w:val="009b2ed2"/>
    <w:rPr>
      <w:sz w:val="20"/>
    </w:rPr>
  </w:style>
  <w:style w:type="character" w:styleId="KomentarotemaDiagrama" w:customStyle="1">
    <w:name w:val="Komentaro tema Diagrama"/>
    <w:basedOn w:val="KomentarotekstasDiagrama"/>
    <w:link w:val="annotationsubject"/>
    <w:semiHidden/>
    <w:qFormat/>
    <w:rsid w:val="009b2ed2"/>
    <w:rPr>
      <w:b/>
      <w:bCs/>
      <w:sz w:val="20"/>
    </w:rPr>
  </w:style>
  <w:style w:type="character" w:styleId="InternetLink1" w:customStyle="1">
    <w:name w:val="Internet Link1"/>
    <w:qFormat/>
    <w:rPr>
      <w:color w:val="000080"/>
      <w:u w:val="single"/>
    </w:rPr>
  </w:style>
  <w:style w:type="character" w:styleId="InternetLink2" w:customStyle="1">
    <w:name w:val="Internet Link2"/>
    <w:qFormat/>
    <w:rPr>
      <w:color w:val="000080"/>
      <w:u w:val="single"/>
    </w:rPr>
  </w:style>
  <w:style w:type="character" w:styleId="InternetLink3">
    <w:name w:val="Internet Link3"/>
    <w:qFormat/>
    <w:rPr>
      <w:color w:val="000080"/>
      <w:u w:val="single"/>
    </w:rPr>
  </w:style>
  <w:style w:type="character" w:styleId="Hyperlink">
    <w:name w:val="Hyperlink"/>
    <w:rPr>
      <w:color w:val="000080"/>
      <w:u w:val="single"/>
    </w:rPr>
  </w:style>
  <w:style w:type="character" w:styleId="LineNumber">
    <w:name w:val="line numbe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Cs w:val="24"/>
    </w:rPr>
  </w:style>
  <w:style w:type="paragraph" w:styleId="Rodykl" w:customStyle="1">
    <w:name w:val="Rodyklė"/>
    <w:basedOn w:val="Normal"/>
    <w:qFormat/>
    <w:pPr>
      <w:suppressLineNumbers/>
    </w:pPr>
    <w:rPr>
      <w:rFonts w:cs="Lucida Sans"/>
    </w:rPr>
  </w:style>
  <w:style w:type="paragraph" w:styleId="CommentText">
    <w:name w:val="annotation text"/>
    <w:basedOn w:val="Normal"/>
    <w:link w:val="KomentarotekstasDiagrama"/>
    <w:unhideWhenUsed/>
    <w:rsid w:val="009b2ed2"/>
    <w:pPr/>
    <w:rPr>
      <w:sz w:val="20"/>
    </w:rPr>
  </w:style>
  <w:style w:type="paragraph" w:styleId="annotationsubject">
    <w:name w:val="annotation subject"/>
    <w:basedOn w:val="CommentText"/>
    <w:next w:val="CommentText"/>
    <w:link w:val="KomentarotemaDiagrama"/>
    <w:semiHidden/>
    <w:unhideWhenUsed/>
    <w:qFormat/>
    <w:rsid w:val="009b2ed2"/>
    <w:pPr/>
    <w:rPr>
      <w:b/>
      <w:bCs/>
    </w:rPr>
  </w:style>
  <w:style w:type="paragraph" w:styleId="HeaderandFooter" w:customStyle="1">
    <w:name w:val="Header and Footer"/>
    <w:basedOn w:val="Normal"/>
    <w:qFormat/>
    <w:pPr/>
    <w:rPr/>
  </w:style>
  <w:style w:type="paragraph" w:styleId="Header">
    <w:name w:val="header"/>
    <w:basedOn w:val="HeaderandFooter"/>
    <w:pPr/>
    <w:rPr/>
  </w:style>
  <w:style w:type="paragraph" w:styleId="Footer">
    <w:name w:val="footer"/>
    <w:basedOn w:val="HeaderandFooter"/>
    <w:pPr/>
    <w:rPr/>
  </w:style>
  <w:style w:type="paragraph" w:styleId="ListParagraph">
    <w:name w:val="List Paragraph"/>
    <w:basedOn w:val="Normal"/>
    <w:qFormat/>
    <w:pPr>
      <w:spacing w:before="0" w:after="160"/>
      <w:ind w:left="720"/>
      <w:contextualSpacing/>
    </w:pPr>
    <w:rPr/>
  </w:style>
  <w:style w:type="paragraph" w:styleId="Lentelsturinys" w:customStyle="1">
    <w:name w:val="Lentelės turinys"/>
    <w:basedOn w:val="Normal"/>
    <w:qFormat/>
    <w:pPr>
      <w:widowControl w:val="false"/>
      <w:suppressLineNumbers/>
    </w:pPr>
    <w:rPr/>
  </w:style>
  <w:style w:type="paragraph" w:styleId="Lentelsantrat" w:customStyle="1">
    <w:name w:val="Lentelės antraštė"/>
    <w:basedOn w:val="Lentelsturinys"/>
    <w:qFormat/>
    <w:pPr>
      <w:jc w:val="center"/>
    </w:pPr>
    <w:rPr>
      <w:b/>
      <w:bCs/>
    </w:rPr>
  </w:style>
  <w:style w:type="paragraph" w:styleId="Revision">
    <w:name w:val="Revision"/>
    <w:semiHidden/>
    <w:qFormat/>
    <w:rsid w:val="00c15dc3"/>
    <w:pPr>
      <w:widowControl/>
      <w:suppressAutoHyphens w:val="false"/>
      <w:bidi w:val="0"/>
      <w:spacing w:before="0" w:after="0"/>
      <w:jc w:val="left"/>
    </w:pPr>
    <w:rPr>
      <w:rFonts w:ascii="Times New Roman" w:hAnsi="Times New Roman" w:eastAsia="Times New Roman" w:cs="Times New Roman"/>
      <w:color w:val="auto"/>
      <w:kern w:val="0"/>
      <w:sz w:val="24"/>
      <w:szCs w:val="20"/>
      <w:lang w:val="lt-LT" w:eastAsia="en-US" w:bidi="ar-SA"/>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info@vmu.lt" TargetMode="External"/><Relationship Id="rId3" Type="http://schemas.openxmlformats.org/officeDocument/2006/relationships/hyperlink" Target="https://vmu.lt/wp-content/uploads/2021/08/Antikorupcine-politika.pdf" TargetMode="External"/><Relationship Id="rId4" Type="http://schemas.openxmlformats.org/officeDocument/2006/relationships/hyperlink" Target="https://vmu.lt/wp-content/uploads/2022/09/Dovanu-politika-1.pdf" TargetMode="External"/><Relationship Id="rId5" Type="http://schemas.openxmlformats.org/officeDocument/2006/relationships/hyperlink" Target="https://vmu.lt/wp-content/uploads/2021/08/Interesu-konfliktu-vengimo-politika.pdf" TargetMode="External"/><Relationship Id="rId6" Type="http://schemas.openxmlformats.org/officeDocument/2006/relationships/hyperlink" Target="https://vmu.lt/korupcijos-prevencija/" TargetMode="Externa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Relationship Id="rId17" Type="http://schemas.openxmlformats.org/officeDocument/2006/relationships/customXml" Target="../customXml/item2.xml"/><Relationship Id="rId18" Type="http://schemas.openxmlformats.org/officeDocument/2006/relationships/customXml" Target="../customXml/item3.xml"/><Relationship Id="rId19"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AD5B5E-2443-4F7D-BB6D-5BE23EC0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Application>LibreOffice/24.8.0.3$Windows_X86_64 LibreOffice_project/0bdf1299c94fe897b119f97f3c613e9dca6be583</Application>
  <AppVersion>15.0000</AppVersion>
  <Pages>6</Pages>
  <Words>2219</Words>
  <Characters>16018</Characters>
  <CharactersWithSpaces>18054</CharactersWithSpaces>
  <Paragraphs>196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2026-05-21T09:34:00Z</dcterms:created>
  <dc:creator>Laura Pertikienė | VMU</dc:creator>
  <dc:description/>
  <dc:language>lt-LT</dc:language>
  <cp:lastModifiedBy/>
  <dcterms:modified xsi:type="dcterms:W3CDTF">2026-05-21T13:35:16Z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